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F3E" w:rsidRPr="00610E3B" w:rsidRDefault="00644F3E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0E3B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0E3B">
        <w:rPr>
          <w:rFonts w:ascii="Times New Roman" w:eastAsia="Times New Roman" w:hAnsi="Times New Roman" w:cs="Times New Roman"/>
          <w:color w:val="000000"/>
          <w:lang w:eastAsia="ru-RU"/>
        </w:rPr>
        <w:t>к Решению Собрания представителей</w:t>
      </w: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0E3B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Таволжанка</w:t>
      </w: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0E3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Борский</w:t>
      </w:r>
    </w:p>
    <w:p w:rsidR="00610E3B" w:rsidRPr="00610E3B" w:rsidRDefault="00610E3B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0E3B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610E3B" w:rsidRPr="00610E3B" w:rsidRDefault="00BC1CAE" w:rsidP="00610E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27.02.2024 г. № 11</w:t>
      </w:r>
      <w:r w:rsidR="008A2146">
        <w:rPr>
          <w:rFonts w:ascii="Times New Roman" w:eastAsia="Times New Roman" w:hAnsi="Times New Roman" w:cs="Times New Roman"/>
          <w:lang w:eastAsia="ru-RU"/>
        </w:rPr>
        <w:t>4</w:t>
      </w:r>
    </w:p>
    <w:p w:rsidR="00610E3B" w:rsidRPr="00610E3B" w:rsidRDefault="00610E3B" w:rsidP="0061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610E3B" w:rsidRPr="00610E3B" w:rsidRDefault="00610E3B" w:rsidP="0061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деятельности Главы поселения и Администрации сельского поселения</w:t>
      </w:r>
      <w:r w:rsidR="00BC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2023</w:t>
      </w:r>
      <w:r w:rsidRPr="0061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Собранию представителей сельского поселения Таволжанка муниципального района Борский</w:t>
      </w:r>
    </w:p>
    <w:p w:rsidR="00610E3B" w:rsidRPr="00610E3B" w:rsidRDefault="00610E3B" w:rsidP="0061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610E3B" w:rsidRPr="00610E3B" w:rsidRDefault="00610E3B" w:rsidP="0061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Краткая справка о сельском поселении.</w:t>
      </w:r>
    </w:p>
    <w:p w:rsidR="00610E3B" w:rsidRPr="00610E3B" w:rsidRDefault="00610E3B" w:rsidP="00610E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Таволжанка географически расположено на юге муниципального района Борский, в состав сельского поселения входят сёла 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Гостевка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Таволжанка и Старая Таволжанка, село Таволжанка является центральной усадьбой поселения. Общая площадь территории сельского поселения Таволжанка составляет 13 594,9  га, территория поселения занята лесными массивами, водными объектами, землями населенных пунктов и в большей части землями сельскохозяйственного назначения.</w:t>
      </w:r>
    </w:p>
    <w:tbl>
      <w:tblPr>
        <w:tblW w:w="9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108"/>
        <w:gridCol w:w="1701"/>
        <w:gridCol w:w="1843"/>
        <w:gridCol w:w="1842"/>
        <w:gridCol w:w="1701"/>
      </w:tblGrid>
      <w:tr w:rsidR="00610E3B" w:rsidRPr="00610E3B" w:rsidTr="003B4D30">
        <w:trPr>
          <w:trHeight w:val="2119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 по данным учета</w:t>
            </w:r>
          </w:p>
          <w:p w:rsidR="00610E3B" w:rsidRPr="00610E3B" w:rsidRDefault="00610E3B" w:rsidP="006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3B" w:rsidRPr="00610E3B" w:rsidRDefault="00C12CEF" w:rsidP="006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/ 2023</w:t>
            </w:r>
            <w:r w:rsidR="00610E3B" w:rsidRPr="006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Трудоспособного возраста</w:t>
            </w:r>
          </w:p>
          <w:p w:rsidR="00610E3B" w:rsidRPr="00610E3B" w:rsidRDefault="00610E3B" w:rsidP="00610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E3B" w:rsidRPr="00610E3B" w:rsidRDefault="00C12CEF" w:rsidP="00610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/ 2023</w:t>
            </w:r>
            <w:r w:rsidR="00610E3B" w:rsidRPr="006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Пенсионеров и инвалидов</w:t>
            </w: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 </w:t>
            </w: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1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/ 2023</w:t>
            </w:r>
            <w:r w:rsidRPr="006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до 18 лет</w:t>
            </w:r>
          </w:p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10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 </w:t>
            </w:r>
          </w:p>
          <w:p w:rsidR="00610E3B" w:rsidRPr="00610E3B" w:rsidRDefault="00610E3B" w:rsidP="00610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0E3B" w:rsidRPr="006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0E3B" w:rsidRPr="006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10E3B" w:rsidRPr="00610E3B" w:rsidTr="003B4D30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Таволжанка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0741A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610E3B"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 w:rsidR="00610E3B"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tabs>
                <w:tab w:val="left" w:pos="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8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610E3B" w:rsidRPr="00610E3B" w:rsidTr="003B4D30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 Старая Таволжанка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0741A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610E3B"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10E3B"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AC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AC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610E3B" w:rsidRPr="00610E3B" w:rsidTr="003B4D30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с. </w:t>
            </w:r>
            <w:proofErr w:type="spellStart"/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Гостевка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0741A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="00610E3B"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610E3B"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D8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C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10E3B" w:rsidRPr="00610E3B" w:rsidTr="003B4D30">
        <w:trPr>
          <w:trHeight w:val="474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610E3B" w:rsidP="006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C12CEF" w:rsidP="006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610E3B" w:rsidRPr="006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3B4D30"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3B4D30" w:rsidP="00610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407 </w:t>
            </w:r>
            <w:r w:rsidRPr="003B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(58,5%)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3B4D30" w:rsidP="00610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(25,7%)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E3B" w:rsidRPr="00610E3B" w:rsidRDefault="003B4D30" w:rsidP="00610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(15,8%)</w:t>
            </w:r>
          </w:p>
        </w:tc>
      </w:tr>
    </w:tbl>
    <w:p w:rsidR="00610E3B" w:rsidRPr="00610E3B" w:rsidRDefault="00610E3B" w:rsidP="00610E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поселения зарегистрировано, согласно  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</w:t>
      </w:r>
      <w:r w:rsid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="00D8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окол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 3 % от общего числа жителей района.</w:t>
      </w:r>
    </w:p>
    <w:p w:rsidR="00610E3B" w:rsidRPr="00610E3B" w:rsidRDefault="003B4D30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территории поселения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национальностей, русскоязычное население составляет 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575 чел.) 82,6 %, 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чуваши (</w:t>
      </w: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</w:t>
      </w: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остальные национальности по численности составляют от 1 до</w:t>
      </w: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человек, что составляет 8,8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0E3B" w:rsidRPr="00610E3B" w:rsidRDefault="00D8614E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="003B4D30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340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- (4</w:t>
      </w:r>
      <w:r w:rsidR="003B4D30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8,9 %)  меньше, чем женщин 356</w:t>
      </w: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чел.- (51</w:t>
      </w:r>
      <w:r w:rsidR="003B4D30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,1 %) на 16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в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- 0 (2022</w:t>
      </w:r>
      <w:r w:rsidR="00D8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умерло граждан – 14 (2022 - 9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человек. 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Естественная убыль населения 14 чел. Прибыло в поселение 10 чел., выбыло 15</w:t>
      </w:r>
      <w:r w:rsidR="00D8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Миграционная убыль составила 5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D8614E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Численность населения немного уменьши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лась.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проживало в поселени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>и 8 (2022 г.- 11</w:t>
      </w:r>
      <w:r w:rsidR="00D8614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ек, на 3 чел. меньше, чем в 2022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осуществляют свою деятельность в виде организаций, учреждений, предприятий – </w:t>
      </w:r>
      <w:r w:rsidR="00D8614E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5FE1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субъектов, в которых занято </w:t>
      </w:r>
      <w:r w:rsidR="00D8614E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8614E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малом  бизнесе занято 14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из которых в сфере </w:t>
      </w:r>
      <w:r w:rsid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5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сфере услуг 2 чел.Таким образом, </w:t>
      </w:r>
      <w:r w:rsid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всегооколо </w:t>
      </w:r>
      <w:r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 занято по месту основного жительства, а остальное трудоспособное население занято за пределами поселения или занимаются личным подсобным хозяйством.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офици</w:t>
      </w:r>
      <w:r w:rsidR="00C12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безработных граждан в 2023 году в среднем составило 4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что составляет 1% от общего количества трудоспособных граждан, проживающих на территории.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19 земельных кадастровых кварталов, 1088 числящихся в к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варталах земельных участков, 300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подворья,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них содержалось скота в 2023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F63EB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D70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F63EB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(КРС, свин</w:t>
      </w:r>
      <w:r w:rsidR="00CA3D70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ьи, овцы, козы</w:t>
      </w:r>
      <w:r w:rsidR="00375FE1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)- (в 2022 г.- 461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375FE1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</w:t>
      </w:r>
      <w:r w:rsidR="00D8614E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3D70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голов  мен</w:t>
      </w:r>
      <w:r w:rsidR="00D8614E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2022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Собранием представителей сельского поселения Таволжанка муниципального района Борский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2023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организована и проведена следующая работа.</w:t>
      </w:r>
    </w:p>
    <w:p w:rsidR="00610E3B" w:rsidRPr="00610E3B" w:rsidRDefault="00375FE1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и проведено </w:t>
      </w:r>
      <w:r w:rsidR="00CA3D70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>20 заседаний</w:t>
      </w:r>
      <w:r w:rsidR="00610E3B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депутатского корпуса сельского посе</w:t>
      </w:r>
      <w:r w:rsidR="004F63EB" w:rsidRPr="00CA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</w:t>
      </w:r>
      <w:r w:rsidR="003B4D30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и принято 30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proofErr w:type="gramStart"/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3B4D30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разработано и утверждено 10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</w:t>
      </w:r>
      <w:r w:rsidR="004F63E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правовых акта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решения к</w:t>
      </w:r>
      <w:r w:rsidR="004F63E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асались изменений по бюджету (14</w:t>
      </w:r>
      <w:r w:rsidR="00610E3B" w:rsidRP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внесени</w:t>
      </w:r>
      <w:r w:rsidR="003B4D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изменений в действующие НПА (6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работе Собрания представи</w:t>
      </w:r>
      <w:r w:rsidR="001A0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сельского поселения четверто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созыва и администрации сельского поселения публикуется в местной газете </w:t>
      </w:r>
      <w:r w:rsidRPr="00610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«Вестник сельского поселения Таволжанка»</w:t>
      </w:r>
      <w:r w:rsidR="00375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2023</w:t>
      </w:r>
      <w:r w:rsidR="0005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="000550AC">
        <w:rPr>
          <w:rFonts w:ascii="Times New Roman" w:eastAsia="Times New Roman" w:hAnsi="Times New Roman" w:cs="Times New Roman"/>
          <w:sz w:val="28"/>
          <w:szCs w:val="28"/>
          <w:lang w:eastAsia="ru-RU"/>
        </w:rPr>
        <w:t>47 номеров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вся информация о работе размещена на </w:t>
      </w:r>
      <w:bookmarkStart w:id="0" w:name="_GoBack"/>
      <w:bookmarkEnd w:id="0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 сайте администрации м.р. Борский </w:t>
      </w:r>
      <w:r w:rsidRPr="00610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borraion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с.п. Таволжанка 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администрации</w:t>
      </w:r>
      <w:r w:rsidR="00375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ведется исходя из</w:t>
      </w: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полномочий, которыми она наделена Уставом в соответствии с ФЗ от 06.10.2003г. №131-ФЗ «Об общих принципах организации местного самоуправления</w:t>
      </w:r>
      <w:r w:rsidR="00CF7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Российской Федерации». 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штатному расписанию в администрации постоянно работало 9 человек, замещая определенные должности. На время работы трех газовых котельных, администрация с.п. Т</w:t>
      </w:r>
      <w:r w:rsidR="0033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аволжанка зачисляет в штат еще 3 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газовых котельных. </w:t>
      </w:r>
    </w:p>
    <w:p w:rsidR="00610E3B" w:rsidRPr="00610E3B" w:rsidRDefault="00610E3B" w:rsidP="00610E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Полномочие – формирование, утверждение, исполнение бюджета поселения и </w:t>
      </w:r>
      <w:proofErr w:type="gramStart"/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данного бюджета.</w:t>
      </w:r>
    </w:p>
    <w:p w:rsidR="00610E3B" w:rsidRPr="003C5EF9" w:rsidRDefault="00610E3B" w:rsidP="004F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753A" w:rsidRPr="003C5EF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сельского поселения в 202</w:t>
      </w:r>
      <w:r w:rsidR="009032A3" w:rsidRPr="003C5E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сформирован </w:t>
      </w:r>
      <w:proofErr w:type="gramStart"/>
      <w:r w:rsidRPr="003C5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C5E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E3B" w:rsidRPr="003C5EF9" w:rsidRDefault="004F63E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1. дохода</w:t>
      </w:r>
      <w:r w:rsidR="00610E3B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уплаты акцизов на дизельное топливо, моторные масла, авт</w:t>
      </w:r>
      <w:r w:rsidR="003C5EF9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омобильный и прямогонный бензин(и</w:t>
      </w:r>
      <w:r w:rsidR="00610E3B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сполнение составило </w:t>
      </w:r>
      <w:r w:rsidR="003C5EF9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977</w:t>
      </w:r>
      <w:r w:rsidR="009032A3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293,70</w:t>
      </w:r>
      <w:r w:rsidR="00610E3B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</w:t>
      </w:r>
      <w:r w:rsidR="003C5EF9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т.е. </w:t>
      </w:r>
      <w:r w:rsidR="009032A3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100,9</w:t>
      </w:r>
      <w:r w:rsidR="00610E3B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 от планового показателя </w:t>
      </w:r>
      <w:r w:rsidR="003C5EF9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968</w:t>
      </w:r>
      <w:r w:rsidR="009032A3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732</w:t>
      </w:r>
      <w:r w:rsidR="006477BA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</w:t>
      </w:r>
      <w:r w:rsid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C5EF9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477BA" w:rsidRPr="003C5EF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10E3B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2. налог</w:t>
      </w:r>
      <w:r w:rsidR="003C5EF9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а на доходы физических лиц(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сполнение составило </w:t>
      </w:r>
      <w:r w:rsidR="003C5EF9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203</w:t>
      </w:r>
      <w:r w:rsidR="009032A3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468,07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или </w:t>
      </w:r>
      <w:r w:rsidR="009032A3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100,2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от планового показателя </w:t>
      </w:r>
      <w:r w:rsidR="009F5ED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032A3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9F5ED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000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,00 </w:t>
      </w:r>
      <w:proofErr w:type="spellStart"/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proofErr w:type="spellEnd"/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3. земельного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налог</w:t>
      </w:r>
      <w:r w:rsidR="003C5EF9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а (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сполнение составило </w:t>
      </w:r>
      <w:r w:rsidR="009032A3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369 173,71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или </w:t>
      </w:r>
      <w:r w:rsidR="009032A3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планового показателя </w:t>
      </w:r>
      <w:r w:rsidR="009032A3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410</w:t>
      </w:r>
      <w:r w:rsidR="009F5ED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рублей</w:t>
      </w:r>
      <w:r w:rsidR="00E156D1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477BA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4.налог</w:t>
      </w:r>
      <w:r w:rsidR="00E156D1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а на имущество физических лиц (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сполнение составило </w:t>
      </w:r>
      <w:proofErr w:type="gramEnd"/>
    </w:p>
    <w:p w:rsidR="00610E3B" w:rsidRPr="00E156D1" w:rsidRDefault="009032A3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206 004,58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или 100% от планового показателя </w:t>
      </w:r>
      <w:r w:rsidR="009F5ED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9F5ED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рублей</w:t>
      </w:r>
      <w:r w:rsidR="00E156D1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6477BA" w:rsidRPr="00E156D1" w:rsidRDefault="006477BA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5. единого сельскохозяйственного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налог</w:t>
      </w:r>
      <w:r w:rsidR="00E156D1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а (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сполнение составило </w:t>
      </w:r>
      <w:proofErr w:type="gramEnd"/>
    </w:p>
    <w:p w:rsidR="00610E3B" w:rsidRPr="00E156D1" w:rsidRDefault="0079368E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398 109,68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или 100% от планового показателя 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398 109,68 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r w:rsidR="00E156D1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610E3B" w:rsidRPr="00E156D1" w:rsidRDefault="006477BA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дохода от сдачи в аренду  трёх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с/х назначения общей площадью 531,64 га, расположенных в границах бывшего к-за </w:t>
      </w:r>
      <w:r w:rsidR="00E156D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r w:rsidR="00E156D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бывшего </w:t>
      </w:r>
      <w:proofErr w:type="spellStart"/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к-за</w:t>
      </w:r>
      <w:proofErr w:type="spellEnd"/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6D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E156D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угачева – </w:t>
      </w:r>
      <w:r w:rsidR="009F5EDA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691 134,34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9368E" w:rsidRPr="00E156D1" w:rsidRDefault="0079368E" w:rsidP="00E156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/>
          <w:sz w:val="28"/>
          <w:szCs w:val="28"/>
          <w:lang w:eastAsia="ru-RU"/>
        </w:rPr>
        <w:t>7. дохода от аренды части нежилого помещения администрации для размещения АТС - 20304,96 рублей;</w:t>
      </w:r>
    </w:p>
    <w:p w:rsidR="00610E3B" w:rsidRPr="00E156D1" w:rsidRDefault="0079368E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8008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безвозмездные поступления в сумме 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4 499 432,35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составили </w:t>
      </w:r>
      <w:r w:rsidR="009F5ED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100 </w:t>
      </w:r>
      <w:r w:rsidR="00AC5E70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планового показателя </w:t>
      </w:r>
      <w:r w:rsidR="00E156D1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4 499 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432,35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в то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м числе: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- дотации бюджету сельского поселения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выравнивание бюдж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етной обеспеченности из бюджета муниципального района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сумме 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568 525</w:t>
      </w:r>
      <w:r w:rsidR="009F5ED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,00 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- 100%;</w:t>
      </w:r>
    </w:p>
    <w:p w:rsidR="00610E3B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 прочие межбюджетные трансферты, передаваемые бюджетам сельских поселений  составили</w:t>
      </w:r>
      <w:r w:rsidR="00E156D1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9368E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751 437,35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или 100% от планового показателя</w:t>
      </w:r>
      <w:r w:rsidR="007F506E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10E3B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 субвенция на осуществление первичного воинского учета составляет </w:t>
      </w:r>
    </w:p>
    <w:p w:rsidR="00610E3B" w:rsidRPr="00E156D1" w:rsidRDefault="0079368E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115 070</w:t>
      </w:r>
      <w:r w:rsidR="00610E3B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,00 рублей. Кас</w:t>
      </w:r>
      <w:r w:rsidR="006477BA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совое исполнение составило 100%;</w:t>
      </w:r>
    </w:p>
    <w:p w:rsidR="00610E3B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прочие безвозмездные поступления от денежных пожертвований, предоставляемых физическими лицами получателям средств бюджетов сельских поселений в сумме </w:t>
      </w:r>
      <w:r w:rsidR="0079368E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64 4</w:t>
      </w:r>
      <w:r w:rsidR="006E43F3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00,00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 добровольные пожертвования на э</w:t>
      </w:r>
      <w:r w:rsidR="00AC5E70"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лектроэнергию, потраченную на </w:t>
      </w:r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водозаборах сёл </w:t>
      </w:r>
      <w:proofErr w:type="spellStart"/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Гостевка</w:t>
      </w:r>
      <w:proofErr w:type="spellEnd"/>
      <w:r w:rsidRPr="00E1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Таволжанка и Старая Таволжанка. </w:t>
      </w:r>
    </w:p>
    <w:p w:rsidR="006E43F3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доходная часть бюджета в 202</w:t>
      </w:r>
      <w:r w:rsidR="0079368E"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вместе с дотациями и субсидиями составила </w:t>
      </w:r>
      <w:r w:rsidR="0079368E"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7 563 611,33</w:t>
      </w:r>
      <w:r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 при плановом показателе </w:t>
      </w:r>
      <w:r w:rsidR="0079368E"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7 666 274,03</w:t>
      </w:r>
      <w:r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6477BA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368E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2022г. - 7 732 342,70, </w:t>
      </w:r>
      <w:r w:rsidR="006E43F3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2021г. -16 484 586,33 , 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2020г. – 9 217 508,01</w:t>
      </w:r>
      <w:r w:rsidR="006477BA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Доходная часть</w:t>
      </w:r>
      <w:r w:rsidR="006477BA"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="006477BA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целом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исполнена на </w:t>
      </w:r>
      <w:r w:rsidR="0079368E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610E3B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Расходная часть бюджета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исполнена на 9</w:t>
      </w:r>
      <w:r w:rsidR="0079368E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68E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10E3B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E156D1" w:rsidRDefault="0033753A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Бюджет на 202</w:t>
      </w:r>
      <w:r w:rsidR="0079368E" w:rsidRPr="00E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10E3B" w:rsidRPr="00E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79368E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368E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56D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Собранием представителей сельского поселе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 втором чтении  2</w:t>
      </w:r>
      <w:r w:rsidR="00FD2242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79368E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10E3B" w:rsidRPr="00E156D1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hAnsi="Times New Roman" w:cs="Times New Roman"/>
          <w:sz w:val="28"/>
        </w:rPr>
        <w:t>Общий объем расходов сельског</w:t>
      </w:r>
      <w:r w:rsidR="006477BA" w:rsidRPr="00E156D1">
        <w:rPr>
          <w:rFonts w:ascii="Times New Roman" w:hAnsi="Times New Roman" w:cs="Times New Roman"/>
          <w:sz w:val="28"/>
        </w:rPr>
        <w:t xml:space="preserve">о поселения Таволжанка </w:t>
      </w:r>
      <w:r w:rsidRPr="00E156D1">
        <w:rPr>
          <w:rFonts w:ascii="Times New Roman" w:hAnsi="Times New Roman" w:cs="Times New Roman"/>
          <w:sz w:val="28"/>
        </w:rPr>
        <w:t xml:space="preserve"> на 202</w:t>
      </w:r>
      <w:r w:rsidR="0079368E" w:rsidRPr="00E156D1">
        <w:rPr>
          <w:rFonts w:ascii="Times New Roman" w:hAnsi="Times New Roman" w:cs="Times New Roman"/>
          <w:sz w:val="28"/>
        </w:rPr>
        <w:t>4</w:t>
      </w:r>
      <w:r w:rsidRPr="00E156D1">
        <w:rPr>
          <w:rFonts w:ascii="Times New Roman" w:hAnsi="Times New Roman" w:cs="Times New Roman"/>
          <w:sz w:val="28"/>
        </w:rPr>
        <w:t xml:space="preserve"> г. утвержден в сумме </w:t>
      </w:r>
      <w:r w:rsidR="00BC1CAE" w:rsidRPr="00E156D1">
        <w:rPr>
          <w:rFonts w:ascii="Times New Roman" w:hAnsi="Times New Roman" w:cs="Times New Roman"/>
          <w:sz w:val="28"/>
        </w:rPr>
        <w:t>-   6 599 059</w:t>
      </w:r>
      <w:r w:rsidR="00075D24" w:rsidRPr="00E156D1">
        <w:rPr>
          <w:rFonts w:ascii="Times New Roman" w:hAnsi="Times New Roman" w:cs="Times New Roman"/>
          <w:sz w:val="28"/>
        </w:rPr>
        <w:t xml:space="preserve">,00 </w:t>
      </w:r>
      <w:r w:rsidRPr="00E156D1">
        <w:rPr>
          <w:rFonts w:ascii="Times New Roman" w:hAnsi="Times New Roman" w:cs="Times New Roman"/>
          <w:sz w:val="28"/>
        </w:rPr>
        <w:t>рублей</w:t>
      </w: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008A" w:rsidRPr="00E156D1" w:rsidRDefault="0088008A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477BA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D2242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008A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некоторые налогоплательщики не выполнили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обязан</w:t>
      </w:r>
      <w:r w:rsidR="0088008A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своевременно не оплатили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  в бюджет пос</w:t>
      </w:r>
      <w:r w:rsidR="0088008A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на имущество и землю. Ао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своевременности поступления в местный бюджет </w:t>
      </w:r>
      <w:r w:rsidR="0088008A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зависит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всех планов и программ, а также пол</w:t>
      </w:r>
      <w:r w:rsidR="00A07A1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областных субсидий. 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всех жителей ответственно отнестись к данному вопросу.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Полномочие – организация в границах поселения электро-, тепл</w:t>
      </w:r>
      <w:proofErr w:type="gramStart"/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газо- и водоснабжения населения, водоотведения, снабжения населения топливом.</w:t>
      </w:r>
    </w:p>
    <w:p w:rsidR="00610E3B" w:rsidRPr="00610E3B" w:rsidRDefault="00610E3B" w:rsidP="00610E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BA" w:rsidRPr="00A07A11" w:rsidRDefault="0033753A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D22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поселения освещали 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AE0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23опоры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осветительных приборов – </w:t>
      </w:r>
      <w:r w:rsidR="00610E3B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светодиодных ламп и фонарей, плата за электроэнергию по ним составила </w:t>
      </w:r>
      <w:r w:rsidR="00FD2242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218 559,44</w:t>
      </w:r>
      <w:r w:rsidR="00E156D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ED6F3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D2242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F3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</w:t>
      </w:r>
      <w:r w:rsidR="00FD2242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199 561,55</w:t>
      </w:r>
      <w:r w:rsidR="00E156D1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</w:t>
      </w:r>
      <w:r w:rsidR="0064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живанием энергоснабжения 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поселения занимается ОАО «МРСК-Волги» Самарские распределительные сети.</w:t>
      </w:r>
    </w:p>
    <w:p w:rsidR="00644F3E" w:rsidRPr="00610E3B" w:rsidRDefault="00644F3E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домовладения сельского поселения газифицированы на 100 %.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Поставкой природного газа населению занимается ООО «Газпром 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Самара». Техническим обслуживанием газоснабжения населения занимается СВГК.</w:t>
      </w:r>
    </w:p>
    <w:p w:rsidR="00610E3B" w:rsidRPr="00BE4D25" w:rsidRDefault="00970AE0" w:rsidP="0097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водопроводы сел </w:t>
      </w:r>
      <w:proofErr w:type="spellStart"/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Гостевка</w:t>
      </w:r>
      <w:proofErr w:type="spellEnd"/>
      <w:r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Старая</w:t>
      </w:r>
      <w:r w:rsidR="001D6545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Таволжанка, Таволжанка были переданы в </w:t>
      </w:r>
      <w:r w:rsidR="0064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управление </w:t>
      </w:r>
      <w:r w:rsidR="001D6545" w:rsidRPr="00E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«Управление ЖКХ Борского района», </w:t>
      </w:r>
      <w:r w:rsidR="00BE4D2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заключила</w:t>
      </w:r>
      <w:r w:rsidR="001D654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водоснабжение с юридическими лицами и населением. </w:t>
      </w:r>
    </w:p>
    <w:p w:rsidR="00282B8A" w:rsidRPr="009E4C95" w:rsidRDefault="00B050B3" w:rsidP="00337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D654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23622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дополнительных ассигнований из бюджета муниципального района 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приобретены насосы, </w:t>
      </w:r>
      <w:r w:rsidR="001D654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манометр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54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комплектующие и стройматериалы для ограждения скважин, ремонт водяной автоматики  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1D654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306 701,60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05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 трубы полиэтиленовые </w:t>
      </w:r>
      <w:r w:rsidR="00D5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водопроводные</w:t>
      </w:r>
      <w:r w:rsidR="0005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50 мм - 250 м</w:t>
      </w:r>
      <w:r w:rsidR="00D568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="0005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5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мм – 150 метров и материалы на общую сумму  81878, 42 рублей, проведены работы по </w:t>
      </w:r>
      <w:r w:rsidR="001D654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канализации и водопровода к</w:t>
      </w:r>
      <w:proofErr w:type="gramEnd"/>
      <w:r w:rsidR="001D654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зданию ФАП на сумму217 098,50</w:t>
      </w:r>
      <w:r w:rsidR="00923622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10E3B" w:rsidRPr="00610E3B" w:rsidRDefault="00610E3B" w:rsidP="00610E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Полномочие - владение, пользование и распоряжение имуществом, находящимся в муниципальной собственности поселения.</w:t>
      </w:r>
    </w:p>
    <w:p w:rsid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Таволжанка для реализации возложенных полномочий имеет в собственности административное здание, здание СДК с</w:t>
      </w:r>
      <w:proofErr w:type="gram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аволжанка, здание СД</w:t>
      </w:r>
      <w:r w:rsid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с. Ст. Таволжанка, здание клуба 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     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Гостевка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одну газовую  котельную здания Администрации и две газовых котельных зданий СДК,  гараж на 3 машина-м</w:t>
      </w:r>
      <w:r w:rsidR="009E4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еста, два легковых автомобиля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автомобильные дороги общей протяженностью 29,63 км., автомобильные мосты в количестве 9 штук. </w:t>
      </w:r>
    </w:p>
    <w:p w:rsidR="00644F3E" w:rsidRPr="00610E3B" w:rsidRDefault="00644F3E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основных средств имущества сельского поселения составляла:</w:t>
      </w:r>
    </w:p>
    <w:p w:rsidR="00644F3E" w:rsidRPr="00BE4D25" w:rsidRDefault="00644F3E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409"/>
        <w:gridCol w:w="1985"/>
        <w:gridCol w:w="2268"/>
      </w:tblGrid>
      <w:tr w:rsidR="009E4C95" w:rsidRPr="00BE4D25" w:rsidTr="009E4C95">
        <w:tc>
          <w:tcPr>
            <w:tcW w:w="1493" w:type="pct"/>
            <w:shd w:val="clear" w:color="auto" w:fill="auto"/>
          </w:tcPr>
          <w:p w:rsidR="009E4C95" w:rsidRPr="00BE4D25" w:rsidRDefault="009E4C95" w:rsidP="00610E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8" w:type="pct"/>
          </w:tcPr>
          <w:p w:rsidR="009E4C95" w:rsidRPr="00BE4D25" w:rsidRDefault="009E4C95" w:rsidP="00AD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5811" w:rsidRPr="00BE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5" w:type="pct"/>
            <w:shd w:val="clear" w:color="auto" w:fill="auto"/>
          </w:tcPr>
          <w:p w:rsidR="009E4C95" w:rsidRPr="00BE4D25" w:rsidRDefault="009E4C95" w:rsidP="00AD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5811" w:rsidRPr="00BE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4" w:type="pct"/>
          </w:tcPr>
          <w:p w:rsidR="009E4C95" w:rsidRPr="00BE4D25" w:rsidRDefault="009E4C95" w:rsidP="00AD58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5811" w:rsidRPr="00B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E4C95" w:rsidRPr="00BE4D25" w:rsidTr="009E4C95">
        <w:tc>
          <w:tcPr>
            <w:tcW w:w="1493" w:type="pct"/>
            <w:shd w:val="clear" w:color="auto" w:fill="auto"/>
          </w:tcPr>
          <w:p w:rsidR="009E4C95" w:rsidRPr="00BE4D25" w:rsidRDefault="009E4C95" w:rsidP="00610E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1268" w:type="pct"/>
          </w:tcPr>
          <w:p w:rsidR="009E4C95" w:rsidRPr="00BE4D25" w:rsidRDefault="00AD5811" w:rsidP="0009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b/>
                <w:sz w:val="24"/>
                <w:szCs w:val="24"/>
              </w:rPr>
              <w:t>37 904 201,21</w:t>
            </w:r>
          </w:p>
        </w:tc>
        <w:tc>
          <w:tcPr>
            <w:tcW w:w="1045" w:type="pct"/>
            <w:shd w:val="clear" w:color="auto" w:fill="auto"/>
          </w:tcPr>
          <w:p w:rsidR="009E4C95" w:rsidRPr="00BE4D25" w:rsidRDefault="00AD5811" w:rsidP="0009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b/>
                <w:sz w:val="24"/>
                <w:szCs w:val="24"/>
              </w:rPr>
              <w:t>30 086 190,73</w:t>
            </w:r>
          </w:p>
        </w:tc>
        <w:tc>
          <w:tcPr>
            <w:tcW w:w="1194" w:type="pct"/>
          </w:tcPr>
          <w:p w:rsidR="009E4C95" w:rsidRPr="00BE4D25" w:rsidRDefault="00954512" w:rsidP="0061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8 073 926,98</w:t>
            </w:r>
          </w:p>
        </w:tc>
      </w:tr>
      <w:tr w:rsidR="009E4C95" w:rsidRPr="00BE4D25" w:rsidTr="009E4C95">
        <w:tc>
          <w:tcPr>
            <w:tcW w:w="1493" w:type="pct"/>
            <w:shd w:val="clear" w:color="auto" w:fill="auto"/>
          </w:tcPr>
          <w:p w:rsidR="009E4C95" w:rsidRPr="00BE4D25" w:rsidRDefault="009E4C95" w:rsidP="00610E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1268" w:type="pct"/>
          </w:tcPr>
          <w:p w:rsidR="00AD5811" w:rsidRPr="00BE4D25" w:rsidRDefault="00AD5811" w:rsidP="000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pct"/>
            <w:shd w:val="clear" w:color="auto" w:fill="auto"/>
          </w:tcPr>
          <w:p w:rsidR="009E4C95" w:rsidRPr="00BE4D25" w:rsidRDefault="00AD5811" w:rsidP="000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>24 474 567,54</w:t>
            </w:r>
          </w:p>
        </w:tc>
        <w:tc>
          <w:tcPr>
            <w:tcW w:w="1194" w:type="pct"/>
          </w:tcPr>
          <w:p w:rsidR="009E4C95" w:rsidRPr="00BE4D25" w:rsidRDefault="001205D1" w:rsidP="0061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4 756 474,62</w:t>
            </w:r>
          </w:p>
        </w:tc>
      </w:tr>
      <w:tr w:rsidR="009E4C95" w:rsidRPr="00610E3B" w:rsidTr="009E4C95">
        <w:tc>
          <w:tcPr>
            <w:tcW w:w="1493" w:type="pct"/>
            <w:shd w:val="clear" w:color="auto" w:fill="auto"/>
          </w:tcPr>
          <w:p w:rsidR="009E4C95" w:rsidRPr="00BE4D25" w:rsidRDefault="009E4C95" w:rsidP="0061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  <w:tc>
          <w:tcPr>
            <w:tcW w:w="1268" w:type="pct"/>
          </w:tcPr>
          <w:p w:rsidR="009E4C95" w:rsidRPr="00BE4D25" w:rsidRDefault="00AD5811" w:rsidP="0002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>24 894 537,72</w:t>
            </w:r>
          </w:p>
        </w:tc>
        <w:tc>
          <w:tcPr>
            <w:tcW w:w="1045" w:type="pct"/>
            <w:shd w:val="clear" w:color="auto" w:fill="auto"/>
          </w:tcPr>
          <w:p w:rsidR="009E4C95" w:rsidRPr="00BE4D25" w:rsidRDefault="00AD5811" w:rsidP="0002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25">
              <w:rPr>
                <w:rFonts w:ascii="Times New Roman" w:hAnsi="Times New Roman" w:cs="Times New Roman"/>
                <w:sz w:val="24"/>
                <w:szCs w:val="24"/>
              </w:rPr>
              <w:t>69 303 358,37</w:t>
            </w:r>
          </w:p>
        </w:tc>
        <w:tc>
          <w:tcPr>
            <w:tcW w:w="1194" w:type="pct"/>
          </w:tcPr>
          <w:p w:rsidR="009E4C95" w:rsidRPr="00BE4D25" w:rsidRDefault="00954512" w:rsidP="0061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34 396 034,33</w:t>
            </w:r>
          </w:p>
        </w:tc>
      </w:tr>
    </w:tbl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D9020D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Полномочие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48 дорог поселения - 7 дорог сельского поселения имеют асфальтовое покрытие полностью или частично. Общая протяженность дорог составляет 29,63 км, из них с асфальтобетонным покрытием только 4,57 км, которые находятся  на балансе сельского поселения. Из 9 мостов, 4 находятся в не нормативном состоянии и требуют капитального ремонта с большими вложениями бюджетных средств. </w:t>
      </w:r>
    </w:p>
    <w:p w:rsidR="00B1508A" w:rsidRPr="00BE4D25" w:rsidRDefault="00BE4D25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дорог в зимний, </w:t>
      </w:r>
      <w:r w:rsidR="00610E3B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весенний, летний и осенне-зимний периоды заключались договора с различными организациями. В общей сложности было израсходовано из бюджета на содержание дорожно - уличной сети </w:t>
      </w:r>
    </w:p>
    <w:p w:rsidR="00610E3B" w:rsidRPr="00BE4D25" w:rsidRDefault="00AD5811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730 174,70</w:t>
      </w:r>
      <w:r w:rsidR="00610E3B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  <w:r w:rsidR="00954512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отремонтирован мост в с</w:t>
      </w:r>
      <w:proofErr w:type="gramStart"/>
      <w:r w:rsidR="00954512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54512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 Таво</w:t>
      </w:r>
      <w:r w:rsidR="00BE4D2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лжанка на сумму 303 857,01 рублей</w:t>
      </w:r>
      <w:r w:rsidR="00954512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3B" w:rsidRPr="00B1508A" w:rsidRDefault="00610E3B" w:rsidP="00610E3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D5811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на статью Дорожное хозяйство «Дорожный фонд»,  из областного бюджета поступило акцизов  за </w:t>
      </w:r>
      <w:proofErr w:type="spellStart"/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</w:t>
      </w:r>
      <w:proofErr w:type="gramStart"/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</w:t>
      </w:r>
      <w:proofErr w:type="spellEnd"/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бензи</w:t>
      </w:r>
      <w:r w:rsidR="00AD5811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моторные масла на 31.12.2023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сумма </w:t>
      </w:r>
      <w:r w:rsidR="00AD5811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977 293,70 </w:t>
      </w:r>
      <w:r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Весь дорожный фонд был </w:t>
      </w:r>
      <w:r w:rsidR="00BE4D25" w:rsidRPr="00BE4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потрачен  на содержание дорог</w:t>
      </w:r>
      <w:r w:rsidRPr="00BE4D2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767179" w:rsidRDefault="00767179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5.Обеспечение первичных мер пожарной безопасности в границах населенных пунктов поселения.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постоянно разрабатываются и проводятся противопожарные мероприятия. 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поселения всем гражданам под роспись выдает памятки о пожарной безопасности и информацию с телефонами экстренных  служб, при 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подворовом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обходе и при обращении граждан - в здании Администрации.</w:t>
      </w:r>
    </w:p>
    <w:p w:rsidR="00610E3B" w:rsidRPr="00610E3B" w:rsidRDefault="00610E3B" w:rsidP="00610E3B">
      <w:pPr>
        <w:keepNext/>
        <w:keepLines/>
        <w:widowControl w:val="0"/>
        <w:tabs>
          <w:tab w:val="num" w:pos="0"/>
          <w:tab w:val="left" w:pos="851"/>
          <w:tab w:val="right" w:leader="underscore" w:pos="9601"/>
        </w:tabs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bookmarkStart w:id="1" w:name="bookmark5"/>
      <w:r w:rsidR="00BE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оводилась</w:t>
      </w:r>
      <w:r w:rsidRPr="0061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по заключению  Соглашений с жителями поселения и индивидуальными предпринимателями </w:t>
      </w:r>
      <w:r w:rsidRPr="0061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</w:t>
      </w:r>
      <w:bookmarkStart w:id="2" w:name="bookmark6"/>
      <w:bookmarkEnd w:id="1"/>
      <w:r w:rsidRPr="0061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участии в благоустройстве прилегающей  территории</w:t>
      </w:r>
      <w:bookmarkEnd w:id="2"/>
      <w:r w:rsidRPr="0061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объекту капитального строительства, принадлежащему им.  В настоящее время заключено </w:t>
      </w:r>
      <w:r w:rsidR="00B1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1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соглашение</w:t>
      </w:r>
      <w:r w:rsidRPr="0061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E3B" w:rsidRPr="00610E3B" w:rsidRDefault="00610E3B" w:rsidP="00610E3B">
      <w:pPr>
        <w:keepNext/>
        <w:keepLines/>
        <w:widowControl w:val="0"/>
        <w:tabs>
          <w:tab w:val="num" w:pos="0"/>
          <w:tab w:val="left" w:pos="851"/>
          <w:tab w:val="right" w:leader="underscore" w:pos="9601"/>
        </w:tabs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ведется в соответствии с</w:t>
      </w:r>
      <w:hyperlink r:id="rId5" w:history="1">
        <w:r w:rsidRPr="00610E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Федеральным законом от 06.10.2003 № 131-ФЗ «Об общих</w:t>
        </w:r>
      </w:hyperlink>
      <w:r w:rsidRPr="0061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Уставом сельского поселения Таволжанка муниципального района Борский Самарской области, Правилами благоустройства территории сельского поселения Таволжанка муниципального района Борский Самарской</w:t>
      </w:r>
      <w:proofErr w:type="gramEnd"/>
      <w:r w:rsidRPr="0061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решением Собрания представителей сельского поселения Таволжанка муниципального района Борский Самарской о</w:t>
      </w:r>
      <w:r w:rsidR="00E1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от 20 сентября 2023 г. № 96.</w:t>
      </w:r>
    </w:p>
    <w:p w:rsidR="000B59F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20 февраля 2012 года организована добровольная пожарная команда. С 2012 года ежегодно заключается соглашение о взаимодействии с Самарскими региональными общественными учреждениями </w:t>
      </w:r>
      <w:proofErr w:type="gram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</w:t>
      </w:r>
      <w:proofErr w:type="gram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зарегистрированными в Государственном реестре добровольных пожарных.</w:t>
      </w:r>
    </w:p>
    <w:p w:rsidR="000B59FB" w:rsidRPr="00D9020D" w:rsidRDefault="000B59FB" w:rsidP="000B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из бюджета сельского поселения выделялась субсидия в размере </w:t>
      </w:r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442 050,90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противопожарную профилактику и на материальное стимулирование наших добровольных пожарных.</w:t>
      </w:r>
    </w:p>
    <w:p w:rsidR="000B59FB" w:rsidRPr="00D9020D" w:rsidRDefault="000B59FB" w:rsidP="000B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производилась опашка границ населенных пунктов и потенциально опасных участков, а также трех кладбищ. Из бюджета поселения на опашку грани</w:t>
      </w:r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ц трёх населенных пунктов в 2023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741A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</w:t>
      </w:r>
      <w:r w:rsidR="00C0741A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руб., на </w:t>
      </w:r>
      <w:proofErr w:type="spellStart"/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="00C0741A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 растительности 87 000</w:t>
      </w:r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C0741A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530B8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обустройство водяных колодцев с противопожарными гидрантами 206892,08 руб., обустройство противопожарного пирса 50090,00 руб.</w:t>
      </w:r>
    </w:p>
    <w:p w:rsidR="000B59FB" w:rsidRPr="00C0741A" w:rsidRDefault="000B59FB" w:rsidP="000B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обеспечение первичных мер пожарной безопасности в 202</w:t>
      </w:r>
      <w:r w:rsidR="00AD5811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из бюджета поселения  было израсходовано </w:t>
      </w:r>
      <w:r w:rsidR="007530B8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806 532,98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F1D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10F1D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апланировано в 2024 году обустройство ещё 2 водяных колодцев с противопожарными гидрантами (гидранты имеются в наличии) по ул. Школьной в с. Таволжанка и</w:t>
      </w:r>
      <w:r w:rsidR="00D9020D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с.Старая Таволжанка в начале </w:t>
      </w:r>
      <w:r w:rsidR="00E10F1D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Набережной. </w:t>
      </w:r>
      <w:r w:rsidR="00C0741A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на 2024г. на эти цели </w:t>
      </w:r>
      <w:r w:rsidR="00E10F1D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328 000,00 рублей</w:t>
      </w:r>
      <w:r w:rsid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FB" w:rsidRPr="00E10F1D" w:rsidRDefault="007530B8" w:rsidP="000B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 по предупреждению и ликвидации последствий чрезвычайных ситуаций и стихийных бедствий природного и техногенного характера в пункт обогрева на федеральной трассе в с. </w:t>
      </w:r>
      <w:proofErr w:type="gramStart"/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Таволжанка</w:t>
      </w:r>
      <w:r w:rsidR="00D9020D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располагается в СДК,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приобретены  раскладные кровати, стулья и мягкий инвентарь на сумму 23 430,00 руб. </w:t>
      </w:r>
    </w:p>
    <w:p w:rsidR="000B59FB" w:rsidRPr="00D04BFA" w:rsidRDefault="000B59F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6.Полномочие - создание условий для организации досуга и обеспечения жителей поселения услугами организаций культуры.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E3B" w:rsidRPr="0044338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F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 </w:t>
      </w:r>
      <w:r w:rsidRP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полномочие по соглашению передано Администрации муниципального района Борский, кроме услуг по ЖКХ.</w:t>
      </w:r>
    </w:p>
    <w:p w:rsidR="0044338B" w:rsidRPr="0044338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бесперебойного снабжения услугами ЖКХ трёх зданий СДК (электроэнергия, отопление, содержание и обслуживание зданий включая ежемесячное обслуживание пожарных сигнализаций, электрооборудования, газового оборудования и контрольно-измерительной аппаратуры, содержание и обслуживание двух зданий мини-котельных СДК, за</w:t>
      </w:r>
      <w:r w:rsidR="0044338B" w:rsidRP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рплата обслуживающего персонала</w:t>
      </w:r>
      <w:r w:rsidR="00804AF6" w:rsidRP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котельных), из бюджета поселения в 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54512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оплачено  </w:t>
      </w:r>
      <w:r w:rsidR="00954512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1 579 140,74</w:t>
      </w:r>
      <w:r w:rsidR="00804AF6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</w:p>
    <w:p w:rsidR="00610E3B" w:rsidRPr="00610E3B" w:rsidRDefault="00610E3B" w:rsidP="00610E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Полномочие-содействие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</w:t>
      </w:r>
      <w:r w:rsidR="00D04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зарегистрировано</w:t>
      </w:r>
      <w:r w:rsid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</w:t>
      </w:r>
      <w:r w:rsid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ООО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занимаются сельскохозяйственным производством.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D9020D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610E3B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 Администрацией сельского поселения и организациями различных форм собственности, а также физическими лицами было заключено  1</w:t>
      </w:r>
      <w:r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610E3B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804AF6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E3B" w:rsidRPr="00D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соглашений.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определено решать иные вопросы, не отнесенные к компетенции органов местного самоуправления,  не исключенные из их компетенции федеральными законами и законами Самарской области, за счет доходов местного бюджета, если они есть.</w:t>
      </w:r>
    </w:p>
    <w:p w:rsidR="00610E3B" w:rsidRPr="00610E3B" w:rsidRDefault="00610E3B" w:rsidP="0061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Продолжала</w:t>
      </w:r>
      <w:r w:rsidR="0005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работа 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книгах </w:t>
      </w:r>
      <w:proofErr w:type="spellStart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хозяйств, согласно которым и выда</w:t>
      </w:r>
      <w:r w:rsidR="000550A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 разного рода справки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всех граждан имеющих земельные участки на территории с.п. Таволжанка привести документы на них в соответствие с нормами законодательства, т.е. зарегистрировать право собственности на них и т.д. Сделать это возможно, в том числе и во время приёма граждан специалистом МФЦ в здании Администрации с.п. Таволжанка каждый второй и четвёртый четверг месяца по предварительной записи у специалиста администрации с.п. Таволжанка.</w:t>
      </w:r>
    </w:p>
    <w:p w:rsidR="00610E3B" w:rsidRPr="00D04BFA" w:rsidRDefault="00D9020D" w:rsidP="00D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2023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принято граждан с целью выдачи им </w:t>
      </w:r>
      <w:r w:rsid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 (2022 г. - 377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мен</w:t>
      </w:r>
      <w:r w:rsidR="0044338B" w:rsidRPr="00D04BF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2022</w:t>
      </w:r>
      <w:r w:rsidR="00610E3B"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Основная масса выдаваемых справок необходима для оформления социальных выплат и получения услуг в службах социальной защиты и обслуживания населения.</w:t>
      </w:r>
    </w:p>
    <w:p w:rsidR="00610E3B" w:rsidRPr="00610E3B" w:rsidRDefault="00610E3B" w:rsidP="00610E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</w:t>
      </w:r>
      <w:r w:rsidR="00D9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ивное развитие поселения на 2024</w:t>
      </w: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год:</w:t>
      </w:r>
    </w:p>
    <w:p w:rsidR="00610E3B" w:rsidRPr="00610E3B" w:rsidRDefault="00610E3B" w:rsidP="00610E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планируется:</w:t>
      </w:r>
    </w:p>
    <w:p w:rsidR="00610E3B" w:rsidRPr="0044338B" w:rsidRDefault="00610E3B" w:rsidP="00610E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ремонт водопроводной сети.</w:t>
      </w:r>
    </w:p>
    <w:p w:rsidR="00610E3B" w:rsidRDefault="00610E3B" w:rsidP="00610E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содержания дорог </w:t>
      </w:r>
      <w:r w:rsidR="0044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установку дополнительных технических средств организации дорожного движения и произвести ямочный ремонт и ремонт картами.  </w:t>
      </w:r>
    </w:p>
    <w:p w:rsidR="0044338B" w:rsidRPr="0044338B" w:rsidRDefault="0044338B" w:rsidP="00610E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– ремонт ограждения парка Победы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 Таволжанка и обустройство детских игровых площадок.</w:t>
      </w:r>
    </w:p>
    <w:p w:rsidR="00610E3B" w:rsidRPr="00610E3B" w:rsidRDefault="00610E3B" w:rsidP="00610E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3B" w:rsidRPr="00610E3B" w:rsidRDefault="00610E3B" w:rsidP="00610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 поселения Таволжанка        </w:t>
      </w:r>
    </w:p>
    <w:p w:rsidR="00610E3B" w:rsidRPr="00610E3B" w:rsidRDefault="00610E3B" w:rsidP="00610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Борский  </w:t>
      </w:r>
    </w:p>
    <w:p w:rsidR="00610E3B" w:rsidRPr="00610E3B" w:rsidRDefault="00610E3B" w:rsidP="00610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</w:t>
      </w:r>
      <w:r w:rsidR="0080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О.С. </w:t>
      </w:r>
      <w:proofErr w:type="spellStart"/>
      <w:r w:rsidR="0080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Алдарова</w:t>
      </w:r>
      <w:proofErr w:type="spellEnd"/>
    </w:p>
    <w:p w:rsidR="00610E3B" w:rsidRPr="00610E3B" w:rsidRDefault="00610E3B" w:rsidP="00610E3B">
      <w:pPr>
        <w:rPr>
          <w:rFonts w:ascii="Times New Roman" w:hAnsi="Times New Roman" w:cs="Times New Roman"/>
        </w:rPr>
      </w:pPr>
    </w:p>
    <w:p w:rsidR="00610E3B" w:rsidRPr="00610E3B" w:rsidRDefault="00610E3B" w:rsidP="00610E3B"/>
    <w:p w:rsidR="00F17957" w:rsidRPr="00610E3B" w:rsidRDefault="00F17957">
      <w:pPr>
        <w:rPr>
          <w:rFonts w:ascii="Times New Roman" w:hAnsi="Times New Roman" w:cs="Times New Roman"/>
        </w:rPr>
      </w:pPr>
    </w:p>
    <w:sectPr w:rsidR="00F17957" w:rsidRPr="00610E3B" w:rsidSect="00D9020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DE"/>
    <w:multiLevelType w:val="hybridMultilevel"/>
    <w:tmpl w:val="DE02AC32"/>
    <w:lvl w:ilvl="0" w:tplc="C6EAA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86E"/>
    <w:multiLevelType w:val="hybridMultilevel"/>
    <w:tmpl w:val="BE7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D00"/>
    <w:multiLevelType w:val="multilevel"/>
    <w:tmpl w:val="87100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5C66"/>
    <w:multiLevelType w:val="hybridMultilevel"/>
    <w:tmpl w:val="94FC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5BD0"/>
    <w:multiLevelType w:val="multilevel"/>
    <w:tmpl w:val="DA00A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22A60"/>
    <w:multiLevelType w:val="multilevel"/>
    <w:tmpl w:val="5FD60B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85F0073"/>
    <w:multiLevelType w:val="hybridMultilevel"/>
    <w:tmpl w:val="82520126"/>
    <w:lvl w:ilvl="0" w:tplc="2C46D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47C43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A1E05D5"/>
    <w:multiLevelType w:val="hybridMultilevel"/>
    <w:tmpl w:val="1A70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05016"/>
    <w:multiLevelType w:val="multilevel"/>
    <w:tmpl w:val="3588F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77E4B"/>
    <w:multiLevelType w:val="multilevel"/>
    <w:tmpl w:val="D4DA5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E7E93"/>
    <w:multiLevelType w:val="multilevel"/>
    <w:tmpl w:val="661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72110"/>
    <w:multiLevelType w:val="hybridMultilevel"/>
    <w:tmpl w:val="6C985B62"/>
    <w:lvl w:ilvl="0" w:tplc="C5025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0244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466D7918"/>
    <w:multiLevelType w:val="hybridMultilevel"/>
    <w:tmpl w:val="445E2D3C"/>
    <w:lvl w:ilvl="0" w:tplc="D3B2F8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8648B"/>
    <w:multiLevelType w:val="hybridMultilevel"/>
    <w:tmpl w:val="EF366CA6"/>
    <w:lvl w:ilvl="0" w:tplc="46DA76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0DD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5976453A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CCC4DCB"/>
    <w:multiLevelType w:val="multilevel"/>
    <w:tmpl w:val="FDB00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32C26"/>
    <w:multiLevelType w:val="hybridMultilevel"/>
    <w:tmpl w:val="A86CB7B8"/>
    <w:lvl w:ilvl="0" w:tplc="B78857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52D57"/>
    <w:multiLevelType w:val="hybridMultilevel"/>
    <w:tmpl w:val="F5185DAE"/>
    <w:lvl w:ilvl="0" w:tplc="AAF403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3EDE"/>
    <w:multiLevelType w:val="hybridMultilevel"/>
    <w:tmpl w:val="182C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1"/>
  </w:num>
  <w:num w:numId="18">
    <w:abstractNumId w:val="3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C7"/>
    <w:rsid w:val="000150C6"/>
    <w:rsid w:val="00035827"/>
    <w:rsid w:val="000550AC"/>
    <w:rsid w:val="00075D24"/>
    <w:rsid w:val="000B59FB"/>
    <w:rsid w:val="001205D1"/>
    <w:rsid w:val="001A0FC7"/>
    <w:rsid w:val="001D6545"/>
    <w:rsid w:val="001F2D86"/>
    <w:rsid w:val="00282B8A"/>
    <w:rsid w:val="0031534E"/>
    <w:rsid w:val="0033753A"/>
    <w:rsid w:val="00375FE1"/>
    <w:rsid w:val="003B4D30"/>
    <w:rsid w:val="003C5EF9"/>
    <w:rsid w:val="0044338B"/>
    <w:rsid w:val="0048051A"/>
    <w:rsid w:val="004F63EB"/>
    <w:rsid w:val="00516EEE"/>
    <w:rsid w:val="00610E3B"/>
    <w:rsid w:val="00644F3E"/>
    <w:rsid w:val="006477BA"/>
    <w:rsid w:val="006E43F3"/>
    <w:rsid w:val="007530B8"/>
    <w:rsid w:val="00767179"/>
    <w:rsid w:val="00775426"/>
    <w:rsid w:val="007926BE"/>
    <w:rsid w:val="0079368E"/>
    <w:rsid w:val="007B5AF1"/>
    <w:rsid w:val="007F506E"/>
    <w:rsid w:val="00804AF6"/>
    <w:rsid w:val="0088008A"/>
    <w:rsid w:val="008A2146"/>
    <w:rsid w:val="008D35E5"/>
    <w:rsid w:val="009032A3"/>
    <w:rsid w:val="00923622"/>
    <w:rsid w:val="00954512"/>
    <w:rsid w:val="00964B06"/>
    <w:rsid w:val="00970AE0"/>
    <w:rsid w:val="009E4C95"/>
    <w:rsid w:val="009F5EDA"/>
    <w:rsid w:val="00A07A11"/>
    <w:rsid w:val="00AC5E70"/>
    <w:rsid w:val="00AC7149"/>
    <w:rsid w:val="00AC7ACE"/>
    <w:rsid w:val="00AD5811"/>
    <w:rsid w:val="00AE23A8"/>
    <w:rsid w:val="00AE5A7E"/>
    <w:rsid w:val="00B050B3"/>
    <w:rsid w:val="00B1508A"/>
    <w:rsid w:val="00B80624"/>
    <w:rsid w:val="00BC1CAE"/>
    <w:rsid w:val="00BE4D25"/>
    <w:rsid w:val="00C0741A"/>
    <w:rsid w:val="00C12CEF"/>
    <w:rsid w:val="00C540C1"/>
    <w:rsid w:val="00CA3D70"/>
    <w:rsid w:val="00CF77B9"/>
    <w:rsid w:val="00D04BFA"/>
    <w:rsid w:val="00D5687E"/>
    <w:rsid w:val="00D8614E"/>
    <w:rsid w:val="00D9020D"/>
    <w:rsid w:val="00E015C7"/>
    <w:rsid w:val="00E03BF3"/>
    <w:rsid w:val="00E10F1D"/>
    <w:rsid w:val="00E156D1"/>
    <w:rsid w:val="00E40F2A"/>
    <w:rsid w:val="00ED6F31"/>
    <w:rsid w:val="00F17957"/>
    <w:rsid w:val="00F65D83"/>
    <w:rsid w:val="00FD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27"/>
  </w:style>
  <w:style w:type="paragraph" w:styleId="2">
    <w:name w:val="heading 2"/>
    <w:basedOn w:val="a"/>
    <w:next w:val="a"/>
    <w:link w:val="20"/>
    <w:uiPriority w:val="9"/>
    <w:unhideWhenUsed/>
    <w:qFormat/>
    <w:rsid w:val="00610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610E3B"/>
  </w:style>
  <w:style w:type="table" w:styleId="a3">
    <w:name w:val="Table Grid"/>
    <w:basedOn w:val="a1"/>
    <w:uiPriority w:val="59"/>
    <w:rsid w:val="00610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5"/>
    <w:uiPriority w:val="99"/>
    <w:semiHidden/>
    <w:rsid w:val="00610E3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1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10E3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10E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0E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link w:val="a9"/>
    <w:uiPriority w:val="99"/>
    <w:rsid w:val="00610E3B"/>
    <w:rPr>
      <w:rFonts w:eastAsia="Calibri"/>
    </w:rPr>
  </w:style>
  <w:style w:type="paragraph" w:styleId="a9">
    <w:name w:val="header"/>
    <w:basedOn w:val="a"/>
    <w:link w:val="a8"/>
    <w:uiPriority w:val="99"/>
    <w:unhideWhenUsed/>
    <w:rsid w:val="00610E3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1">
    <w:name w:val="Верхний колонтитул Знак1"/>
    <w:basedOn w:val="a0"/>
    <w:uiPriority w:val="99"/>
    <w:semiHidden/>
    <w:rsid w:val="00610E3B"/>
  </w:style>
  <w:style w:type="paragraph" w:styleId="aa">
    <w:name w:val="footer"/>
    <w:basedOn w:val="a"/>
    <w:link w:val="ab"/>
    <w:uiPriority w:val="99"/>
    <w:unhideWhenUsed/>
    <w:rsid w:val="00610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10E3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610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610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rsid w:val="00610E3B"/>
    <w:rPr>
      <w:rFonts w:ascii="Arial" w:hAnsi="Arial" w:cs="Arial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10E3B"/>
    <w:pPr>
      <w:widowControl w:val="0"/>
      <w:shd w:val="clear" w:color="auto" w:fill="FFFFFF"/>
      <w:spacing w:before="420" w:after="0" w:line="494" w:lineRule="exact"/>
      <w:outlineLvl w:val="0"/>
    </w:pPr>
    <w:rPr>
      <w:rFonts w:ascii="Arial" w:hAnsi="Arial" w:cs="Arial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0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610E3B"/>
  </w:style>
  <w:style w:type="table" w:styleId="a3">
    <w:name w:val="Table Grid"/>
    <w:basedOn w:val="a1"/>
    <w:uiPriority w:val="59"/>
    <w:rsid w:val="00610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5"/>
    <w:uiPriority w:val="99"/>
    <w:semiHidden/>
    <w:rsid w:val="00610E3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1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10E3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10E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0E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link w:val="a9"/>
    <w:uiPriority w:val="99"/>
    <w:rsid w:val="00610E3B"/>
    <w:rPr>
      <w:rFonts w:eastAsia="Calibri"/>
    </w:rPr>
  </w:style>
  <w:style w:type="paragraph" w:styleId="a9">
    <w:name w:val="header"/>
    <w:basedOn w:val="a"/>
    <w:link w:val="a8"/>
    <w:uiPriority w:val="99"/>
    <w:unhideWhenUsed/>
    <w:rsid w:val="00610E3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1">
    <w:name w:val="Верхний колонтитул Знак1"/>
    <w:basedOn w:val="a0"/>
    <w:uiPriority w:val="99"/>
    <w:semiHidden/>
    <w:rsid w:val="00610E3B"/>
  </w:style>
  <w:style w:type="paragraph" w:styleId="aa">
    <w:name w:val="footer"/>
    <w:basedOn w:val="a"/>
    <w:link w:val="ab"/>
    <w:uiPriority w:val="99"/>
    <w:unhideWhenUsed/>
    <w:rsid w:val="00610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10E3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610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610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rsid w:val="00610E3B"/>
    <w:rPr>
      <w:rFonts w:ascii="Arial" w:hAnsi="Arial" w:cs="Arial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10E3B"/>
    <w:pPr>
      <w:widowControl w:val="0"/>
      <w:shd w:val="clear" w:color="auto" w:fill="FFFFFF"/>
      <w:spacing w:before="420" w:after="0" w:line="494" w:lineRule="exact"/>
      <w:outlineLvl w:val="0"/>
    </w:pPr>
    <w:rPr>
      <w:rFonts w:ascii="Arial" w:hAnsi="Arial" w:cs="Arial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29</cp:revision>
  <cp:lastPrinted>2024-02-27T05:05:00Z</cp:lastPrinted>
  <dcterms:created xsi:type="dcterms:W3CDTF">2023-03-07T07:27:00Z</dcterms:created>
  <dcterms:modified xsi:type="dcterms:W3CDTF">2024-04-09T11:54:00Z</dcterms:modified>
</cp:coreProperties>
</file>